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2BC1" w14:textId="77777777" w:rsidR="001511A0" w:rsidRDefault="00395D16">
      <w:pPr>
        <w:spacing w:line="440" w:lineRule="exact"/>
        <w:jc w:val="center"/>
      </w:pP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 w:eastAsia="zh-TW"/>
        </w:rPr>
        <w:t>中華福音神學院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201</w:t>
      </w: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 w:eastAsia="zh-TW"/>
        </w:rPr>
        <w:t>7學年度下學期課程綱要</w:t>
      </w:r>
    </w:p>
    <w:p w14:paraId="32696BFF" w14:textId="77777777" w:rsidR="001511A0" w:rsidRDefault="00395D16">
      <w:pPr>
        <w:spacing w:before="108" w:line="400" w:lineRule="exact"/>
        <w:jc w:val="right"/>
      </w:pPr>
      <w:r>
        <w:rPr>
          <w:rFonts w:ascii="微軟正黑體" w:eastAsia="微軟正黑體" w:hAnsi="微軟正黑體" w:cs="微軟正黑體"/>
        </w:rPr>
        <w:t>201</w:t>
      </w:r>
      <w:r>
        <w:rPr>
          <w:rFonts w:ascii="微軟正黑體" w:eastAsia="微軟正黑體" w:hAnsi="微軟正黑體" w:cs="微軟正黑體"/>
          <w:lang w:val="zh-TW" w:eastAsia="zh-TW"/>
        </w:rPr>
        <w:t>7</w:t>
      </w:r>
      <w:r>
        <w:rPr>
          <w:rFonts w:ascii="微軟正黑體" w:eastAsia="微軟正黑體" w:hAnsi="微軟正黑體" w:cs="微軟正黑體"/>
        </w:rPr>
        <w:t>.</w:t>
      </w:r>
      <w:r>
        <w:rPr>
          <w:rFonts w:ascii="微軟正黑體" w:eastAsia="微軟正黑體" w:hAnsi="微軟正黑體" w:cs="微軟正黑體"/>
          <w:lang w:val="zh-TW" w:eastAsia="zh-TW"/>
        </w:rPr>
        <w:t>10</w:t>
      </w:r>
      <w:r>
        <w:rPr>
          <w:rFonts w:ascii="微軟正黑體" w:eastAsia="微軟正黑體" w:hAnsi="微軟正黑體" w:cs="微軟正黑體"/>
        </w:rPr>
        <w:t>.1</w:t>
      </w:r>
      <w:r>
        <w:rPr>
          <w:rFonts w:ascii="微軟正黑體" w:eastAsia="微軟正黑體" w:hAnsi="微軟正黑體" w:cs="微軟正黑體"/>
          <w:lang w:val="zh-TW" w:eastAsia="zh-TW"/>
        </w:rPr>
        <w:t>2版</w:t>
      </w:r>
    </w:p>
    <w:p w14:paraId="1160EA3C" w14:textId="77777777" w:rsidR="001511A0" w:rsidRDefault="00395D16">
      <w:pPr>
        <w:pStyle w:val="ListParagraph"/>
        <w:numPr>
          <w:ilvl w:val="0"/>
          <w:numId w:val="2"/>
        </w:numPr>
        <w:spacing w:after="180" w:line="400" w:lineRule="exact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課程基本資料</w:t>
      </w:r>
    </w:p>
    <w:tbl>
      <w:tblPr>
        <w:tblW w:w="8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1511A0" w14:paraId="1AD94ACB" w14:textId="77777777">
        <w:trPr>
          <w:trHeight w:val="700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B60B" w14:textId="77777777" w:rsidR="001511A0" w:rsidRDefault="00395D16">
            <w:pPr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課程名稱：</w:t>
            </w:r>
            <w:r>
              <w:t>(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中文</w:t>
            </w:r>
            <w:r>
              <w:t>)</w:t>
            </w:r>
            <w:r w:rsidR="001B013A">
              <w:t xml:space="preserve"> </w:t>
            </w:r>
            <w:r w:rsidR="001B013A">
              <w:rPr>
                <w:rFonts w:hint="eastAsia"/>
                <w:lang w:eastAsia="zh-TW"/>
              </w:rPr>
              <w:t>語言學習與文化適應</w:t>
            </w:r>
          </w:p>
          <w:p w14:paraId="7282B150" w14:textId="37550F77" w:rsidR="001511A0" w:rsidRDefault="00395D16">
            <w:pPr>
              <w:jc w:val="both"/>
              <w:rPr>
                <w:lang w:eastAsia="zh-TW"/>
              </w:rPr>
            </w:pPr>
            <w:r>
              <w:t xml:space="preserve">        </w:t>
            </w:r>
            <w:r>
              <w:rPr>
                <w:lang w:val="zh-TW" w:eastAsia="zh-TW"/>
              </w:rPr>
              <w:t xml:space="preserve">       </w:t>
            </w:r>
            <w:r>
              <w:t xml:space="preserve">  (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英文</w:t>
            </w:r>
            <w:r>
              <w:t>)</w:t>
            </w:r>
            <w:r w:rsidR="001B013A">
              <w:rPr>
                <w:rFonts w:hint="eastAsia"/>
                <w:lang w:eastAsia="zh-TW"/>
              </w:rPr>
              <w:t xml:space="preserve"> </w:t>
            </w:r>
            <w:r w:rsidR="001B013A">
              <w:rPr>
                <w:lang w:eastAsia="zh-TW"/>
              </w:rPr>
              <w:t>Language Acquisition and Cultural Adaptation</w:t>
            </w:r>
            <w:r w:rsidR="0041235D">
              <w:rPr>
                <w:lang w:eastAsia="zh-TW"/>
              </w:rPr>
              <w:t>(LACA)</w:t>
            </w:r>
          </w:p>
        </w:tc>
      </w:tr>
      <w:tr w:rsidR="001511A0" w14:paraId="781FD420" w14:textId="77777777">
        <w:trPr>
          <w:trHeight w:val="36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039F" w14:textId="77777777" w:rsidR="001511A0" w:rsidRPr="001B013A" w:rsidRDefault="00395D1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學分數：</w:t>
            </w:r>
            <w:r w:rsidR="001B013A">
              <w:rPr>
                <w:rFonts w:ascii="新細明體" w:eastAsia="新細明體" w:hAnsi="新細明體" w:cs="新細明體"/>
                <w:lang w:eastAsia="zh-TW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B53E" w14:textId="77777777" w:rsidR="001511A0" w:rsidRPr="001B013A" w:rsidRDefault="00395D1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必</w:t>
            </w:r>
            <w:r>
              <w:t>/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選修：</w:t>
            </w:r>
            <w:r w:rsidR="001B013A">
              <w:rPr>
                <w:rFonts w:ascii="新細明體" w:eastAsia="新細明體" w:hAnsi="新細明體" w:cs="新細明體" w:hint="eastAsia"/>
                <w:lang w:eastAsia="zh-TW"/>
              </w:rPr>
              <w:t>選修</w:t>
            </w:r>
          </w:p>
        </w:tc>
      </w:tr>
      <w:tr w:rsidR="001511A0" w14:paraId="0B144FDC" w14:textId="77777777">
        <w:trPr>
          <w:trHeight w:val="36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D033" w14:textId="77777777" w:rsidR="001511A0" w:rsidRDefault="00395D16">
            <w:pPr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授課教師：</w:t>
            </w:r>
            <w:r>
              <w:t xml:space="preserve"> </w:t>
            </w:r>
            <w:r w:rsidR="001B013A">
              <w:rPr>
                <w:rFonts w:hint="eastAsia"/>
                <w:lang w:eastAsia="zh-TW"/>
              </w:rPr>
              <w:t>邱顯正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290B" w14:textId="77777777" w:rsidR="001511A0" w:rsidRDefault="00395D1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擋修課程：</w:t>
            </w:r>
            <w:r w:rsidR="001B013A">
              <w:rPr>
                <w:rFonts w:ascii="新細明體" w:eastAsia="新細明體" w:hAnsi="新細明體" w:cs="新細明體" w:hint="eastAsia"/>
                <w:lang w:val="zh-TW" w:eastAsia="zh-TW"/>
              </w:rPr>
              <w:t>N/A</w:t>
            </w:r>
          </w:p>
        </w:tc>
      </w:tr>
      <w:tr w:rsidR="001511A0" w14:paraId="0544AB02" w14:textId="77777777">
        <w:trPr>
          <w:trHeight w:val="36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5BA1" w14:textId="77777777" w:rsidR="001511A0" w:rsidRDefault="00395D1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可否旁聽：</w:t>
            </w:r>
            <w:r w:rsidR="001B013A">
              <w:rPr>
                <w:rFonts w:ascii="新細明體" w:eastAsia="新細明體" w:hAnsi="新細明體" w:cs="新細明體" w:hint="eastAsia"/>
                <w:lang w:val="zh-TW" w:eastAsia="zh-TW"/>
              </w:rPr>
              <w:t>不可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E582" w14:textId="77777777" w:rsidR="001511A0" w:rsidRDefault="00395D1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限制人數：</w:t>
            </w:r>
            <w:r w:rsidR="001B013A">
              <w:rPr>
                <w:rFonts w:ascii="新細明體" w:eastAsia="新細明體" w:hAnsi="新細明體" w:cs="新細明體" w:hint="eastAsia"/>
                <w:lang w:val="zh-TW" w:eastAsia="zh-TW"/>
              </w:rPr>
              <w:t>不限</w:t>
            </w:r>
          </w:p>
        </w:tc>
      </w:tr>
      <w:tr w:rsidR="001511A0" w14:paraId="1F3A95E6" w14:textId="77777777">
        <w:trPr>
          <w:trHeight w:val="36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12C17" w14:textId="36461389" w:rsidR="001511A0" w:rsidRDefault="00395D16">
            <w:pPr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上課時間：</w:t>
            </w:r>
            <w:r w:rsidR="00A33AEF">
              <w:rPr>
                <w:rFonts w:ascii="標楷體" w:hAnsi="標楷體" w:hint="eastAsia"/>
                <w:sz w:val="26"/>
                <w:szCs w:val="26"/>
                <w:lang w:eastAsia="zh-TW"/>
              </w:rPr>
              <w:t>週一晚上</w:t>
            </w:r>
            <w:r w:rsidR="00A33AEF">
              <w:rPr>
                <w:rFonts w:ascii="標楷體" w:hAnsi="標楷體" w:hint="eastAsia"/>
                <w:sz w:val="26"/>
                <w:szCs w:val="26"/>
                <w:lang w:eastAsia="zh-TW"/>
              </w:rPr>
              <w:t>7:00-9:10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54951" w14:textId="77777777" w:rsidR="001511A0" w:rsidRDefault="00395D1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上課地點：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val="zh-TW" w:eastAsia="zh-TW"/>
              </w:rPr>
              <w:t>待確認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  <w:tr w:rsidR="001511A0" w14:paraId="2516B730" w14:textId="77777777">
        <w:trPr>
          <w:trHeight w:val="1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55A7E" w14:textId="77777777" w:rsidR="001511A0" w:rsidRDefault="00395D1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</w:t>
            </w:r>
          </w:p>
          <w:p w14:paraId="6DBD679E" w14:textId="77777777" w:rsidR="001511A0" w:rsidRDefault="00395D1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簡介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CFC0E" w14:textId="553F27C3" w:rsidR="001511A0" w:rsidRDefault="0041235D">
            <w:pPr>
              <w:spacing w:line="30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語言學習與文化適應</w:t>
            </w:r>
            <w:r>
              <w:rPr>
                <w:lang w:eastAsia="zh-TW"/>
              </w:rPr>
              <w:t>(LACA)</w:t>
            </w:r>
            <w:r>
              <w:rPr>
                <w:rFonts w:hint="eastAsia"/>
                <w:lang w:eastAsia="zh-TW"/>
              </w:rPr>
              <w:t>是跨文化工人必備的技能，在有效溝通福音之前，必須學會聆聽者的語言與文化，才能進一步使他們心中起共鳴。語言乃是形音義與文法的結合，語言又是文化的載體，從語言中認識文化是最直接的途徑，而非隔靴搔癢；</w:t>
            </w:r>
          </w:p>
          <w:p w14:paraId="3C9E6F0A" w14:textId="77777777" w:rsidR="001511A0" w:rsidRDefault="001511A0">
            <w:pPr>
              <w:spacing w:line="300" w:lineRule="exact"/>
              <w:jc w:val="both"/>
            </w:pPr>
          </w:p>
        </w:tc>
      </w:tr>
      <w:tr w:rsidR="001511A0" w14:paraId="5EB41A3F" w14:textId="77777777">
        <w:trPr>
          <w:trHeight w:val="12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7D22" w14:textId="77777777" w:rsidR="001511A0" w:rsidRDefault="00395D1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課程目標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3733E" w14:textId="119BAD49" w:rsidR="001511A0" w:rsidRPr="0041235D" w:rsidRDefault="0041235D" w:rsidP="0041235D">
            <w:pPr>
              <w:pStyle w:val="ListParagraph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41235D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消除學生學習語言的恐懼感，建立學習語言的自信。</w:t>
            </w:r>
          </w:p>
          <w:p w14:paraId="361B10D7" w14:textId="5FC8C572" w:rsidR="0041235D" w:rsidRDefault="0041235D" w:rsidP="0041235D">
            <w:pPr>
              <w:pStyle w:val="ListParagraph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使學生熟悉國際音標IPA。</w:t>
            </w:r>
          </w:p>
          <w:p w14:paraId="72E55461" w14:textId="31DFB781" w:rsidR="0041235D" w:rsidRDefault="0041235D" w:rsidP="0041235D">
            <w:pPr>
              <w:pStyle w:val="ListParagraph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認識語言與文化的要素，與常見的模式。</w:t>
            </w:r>
          </w:p>
          <w:p w14:paraId="6E8F9159" w14:textId="091A4381" w:rsidR="0041235D" w:rsidRPr="0041235D" w:rsidRDefault="0041235D" w:rsidP="0041235D">
            <w:pPr>
              <w:pStyle w:val="ListParagraph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實際學習與操練一種語言並進而認識其文化（例如：希伯來文、希臘文或阿拉伯文，或同學們特別有興趣的語言）。</w:t>
            </w:r>
          </w:p>
          <w:p w14:paraId="71B8EEF5" w14:textId="77777777" w:rsidR="001511A0" w:rsidRDefault="001511A0">
            <w:pPr>
              <w:spacing w:line="300" w:lineRule="exact"/>
              <w:jc w:val="both"/>
            </w:pPr>
          </w:p>
        </w:tc>
      </w:tr>
    </w:tbl>
    <w:p w14:paraId="3E5FDCCC" w14:textId="14C7FA19" w:rsidR="001511A0" w:rsidRDefault="001511A0">
      <w:pPr>
        <w:pStyle w:val="ListParagraph"/>
        <w:numPr>
          <w:ilvl w:val="0"/>
          <w:numId w:val="3"/>
        </w:numPr>
        <w:spacing w:after="180"/>
        <w:rPr>
          <w:lang w:val="zh-TW" w:eastAsia="zh-TW"/>
        </w:rPr>
      </w:pPr>
    </w:p>
    <w:p w14:paraId="7EA645E3" w14:textId="77777777" w:rsidR="001511A0" w:rsidRDefault="001511A0">
      <w:pPr>
        <w:pStyle w:val="ListParagraph"/>
        <w:tabs>
          <w:tab w:val="left" w:pos="567"/>
        </w:tabs>
        <w:spacing w:after="180"/>
        <w:ind w:left="0"/>
      </w:pPr>
    </w:p>
    <w:p w14:paraId="4BD4161E" w14:textId="77777777" w:rsidR="001511A0" w:rsidRDefault="00395D16">
      <w:pPr>
        <w:pStyle w:val="ListParagraph"/>
        <w:numPr>
          <w:ilvl w:val="0"/>
          <w:numId w:val="4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教學大綱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 xml:space="preserve"> (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201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8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/2/2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6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~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6/1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5 共 16 週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)</w:t>
      </w:r>
    </w:p>
    <w:tbl>
      <w:tblPr>
        <w:tblW w:w="82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695"/>
        <w:gridCol w:w="4038"/>
        <w:gridCol w:w="2903"/>
      </w:tblGrid>
      <w:tr w:rsidR="001511A0" w14:paraId="2EDE011F" w14:textId="77777777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5218" w14:textId="77777777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 w:eastAsia="zh-TW"/>
              </w:rPr>
              <w:t>週數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2A5B" w14:textId="77777777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日期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8B0C" w14:textId="77777777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教學主題與進度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28B9" w14:textId="77777777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備註</w:t>
            </w:r>
          </w:p>
        </w:tc>
      </w:tr>
      <w:tr w:rsidR="001511A0" w14:paraId="70CF2139" w14:textId="77777777">
        <w:trPr>
          <w:trHeight w:val="3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DD9C8" w14:textId="77777777" w:rsidR="001511A0" w:rsidRDefault="00395D16">
            <w:pPr>
              <w:jc w:val="center"/>
            </w:pPr>
            <w:r>
              <w:t>1.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871F" w14:textId="5A88B771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2/26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BCAE" w14:textId="39F91CB0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彼此認識、課程簡介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21F9" w14:textId="77777777" w:rsidR="001511A0" w:rsidRDefault="00395D16">
            <w:pPr>
              <w:widowControl/>
            </w:pPr>
            <w:r>
              <w:rPr>
                <w:color w:val="FF2600"/>
              </w:rPr>
              <w:t>2/28(</w:t>
            </w:r>
            <w:r>
              <w:rPr>
                <w:rFonts w:hint="eastAsia"/>
                <w:color w:val="FF2600"/>
              </w:rPr>
              <w:t>三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</w:rPr>
              <w:t>國定假日</w:t>
            </w:r>
          </w:p>
        </w:tc>
      </w:tr>
      <w:tr w:rsidR="001511A0" w14:paraId="0A984B26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8AC1" w14:textId="77777777" w:rsidR="001511A0" w:rsidRDefault="00395D16">
            <w:pPr>
              <w:jc w:val="center"/>
            </w:pPr>
            <w:r>
              <w:t>2.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A027A" w14:textId="49F23F2B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3/5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DF88" w14:textId="1A99B232" w:rsidR="001511A0" w:rsidRDefault="00A200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語音學</w:t>
            </w:r>
            <w:r w:rsidR="00D01E32">
              <w:rPr>
                <w:rFonts w:hint="eastAsia"/>
                <w:lang w:eastAsia="zh-TW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3CC0" w14:textId="77777777" w:rsidR="001511A0" w:rsidRDefault="001511A0"/>
        </w:tc>
      </w:tr>
      <w:tr w:rsidR="001511A0" w14:paraId="1E254950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7A987" w14:textId="77777777" w:rsidR="001511A0" w:rsidRDefault="00395D16">
            <w:pPr>
              <w:jc w:val="center"/>
            </w:pPr>
            <w:r>
              <w:t>3.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F66C6" w14:textId="6D6E3BA5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3/12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A5C0" w14:textId="1555E5D5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語音學2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9F33" w14:textId="77777777" w:rsidR="001511A0" w:rsidRDefault="001511A0"/>
        </w:tc>
      </w:tr>
      <w:tr w:rsidR="001511A0" w14:paraId="6816351C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371D" w14:textId="77777777" w:rsidR="001511A0" w:rsidRDefault="00395D16">
            <w:pPr>
              <w:jc w:val="center"/>
            </w:pPr>
            <w:r>
              <w:t>4.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11E17" w14:textId="38F31FC7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3/19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27EE" w14:textId="222A55C6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語音學3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AB8E" w14:textId="77777777" w:rsidR="001511A0" w:rsidRDefault="001511A0"/>
        </w:tc>
      </w:tr>
      <w:tr w:rsidR="001511A0" w14:paraId="540A2F0B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5ACC" w14:textId="77777777" w:rsidR="001511A0" w:rsidRDefault="00395D16">
            <w:pPr>
              <w:jc w:val="center"/>
            </w:pPr>
            <w:r>
              <w:t>5.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25F8" w14:textId="6216F26D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3/26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571E" w14:textId="204C837D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語音學4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B9F8" w14:textId="77777777" w:rsidR="001511A0" w:rsidRDefault="001511A0"/>
        </w:tc>
      </w:tr>
      <w:tr w:rsidR="001511A0" w14:paraId="3959AE9E" w14:textId="77777777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8B92" w14:textId="77777777" w:rsidR="001511A0" w:rsidRDefault="00395D16">
            <w:pPr>
              <w:jc w:val="center"/>
            </w:pPr>
            <w:r>
              <w:t>6.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19F6" w14:textId="77777777" w:rsidR="001511A0" w:rsidRDefault="001511A0"/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EB580" w14:textId="77777777" w:rsidR="001511A0" w:rsidRDefault="00395D16">
            <w:r>
              <w:rPr>
                <w:rFonts w:eastAsia="標楷體" w:hint="eastAsia"/>
                <w:lang w:val="zh-TW" w:eastAsia="zh-TW"/>
              </w:rPr>
              <w:t>不上課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E61C" w14:textId="77777777" w:rsidR="001511A0" w:rsidRDefault="00395D16">
            <w:r>
              <w:rPr>
                <w:color w:val="FF2600"/>
                <w:u w:color="C00000"/>
              </w:rPr>
              <w:t xml:space="preserve">4/2-6 </w:t>
            </w:r>
            <w:r>
              <w:rPr>
                <w:rFonts w:hint="eastAsia"/>
                <w:color w:val="FF2600"/>
                <w:u w:color="C00000"/>
                <w:lang w:val="zh-TW" w:eastAsia="zh-TW"/>
              </w:rPr>
              <w:t>溫書週</w:t>
            </w:r>
          </w:p>
        </w:tc>
      </w:tr>
      <w:tr w:rsidR="001511A0" w14:paraId="06922BBE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CB359" w14:textId="77777777" w:rsidR="001511A0" w:rsidRDefault="00395D16">
            <w:pPr>
              <w:jc w:val="center"/>
            </w:pPr>
            <w:r>
              <w:t>7.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2FE6" w14:textId="255F3756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4/16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9133" w14:textId="7EC49A0A" w:rsidR="001511A0" w:rsidRDefault="00D01E32" w:rsidP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文化的形成、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3B1A" w14:textId="5C7D5B17" w:rsidR="001511A0" w:rsidRDefault="00D01E32">
            <w:r>
              <w:rPr>
                <w:rFonts w:hint="eastAsia"/>
                <w:lang w:eastAsia="zh-TW"/>
              </w:rPr>
              <w:t>每次上課都有語言學習操練。</w:t>
            </w:r>
          </w:p>
        </w:tc>
      </w:tr>
      <w:tr w:rsidR="001511A0" w14:paraId="2DB787C5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4BC97" w14:textId="77777777" w:rsidR="001511A0" w:rsidRDefault="00395D16">
            <w:pPr>
              <w:jc w:val="center"/>
            </w:pPr>
            <w:r>
              <w:lastRenderedPageBreak/>
              <w:t>8.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3B8E9" w14:textId="50DA9BC2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4/23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8422" w14:textId="501C6EFA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文化的類型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DCC0" w14:textId="77777777" w:rsidR="001511A0" w:rsidRDefault="001511A0"/>
        </w:tc>
      </w:tr>
      <w:tr w:rsidR="001511A0" w14:paraId="229A935A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581F" w14:textId="77777777" w:rsidR="001511A0" w:rsidRDefault="00395D16">
            <w:pPr>
              <w:jc w:val="center"/>
            </w:pPr>
            <w:r>
              <w:t>9.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8902" w14:textId="6D96402F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4/30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F35C" w14:textId="68574444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六對價值觀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DDE5" w14:textId="77777777" w:rsidR="001511A0" w:rsidRDefault="001511A0"/>
        </w:tc>
      </w:tr>
      <w:tr w:rsidR="001511A0" w14:paraId="6FF87F4D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3B286" w14:textId="77777777" w:rsidR="001511A0" w:rsidRDefault="00395D16">
            <w:pPr>
              <w:jc w:val="center"/>
            </w:pPr>
            <w:r>
              <w:t>10.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7574" w14:textId="38293BB1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5/14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B484" w14:textId="55ADF64B" w:rsidR="001511A0" w:rsidRDefault="00D01E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文化的衝突與適應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E979" w14:textId="77777777" w:rsidR="001511A0" w:rsidRDefault="001511A0"/>
        </w:tc>
      </w:tr>
      <w:tr w:rsidR="001511A0" w14:paraId="4C041EE3" w14:textId="77777777">
        <w:trPr>
          <w:trHeight w:val="7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89D97" w14:textId="77777777" w:rsidR="001511A0" w:rsidRDefault="00395D16">
            <w:pPr>
              <w:jc w:val="center"/>
            </w:pPr>
            <w: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283FF" w14:textId="20E3CF71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5/21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94D2" w14:textId="77777777" w:rsidR="001511A0" w:rsidRDefault="001511A0"/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0533" w14:textId="77777777" w:rsidR="001511A0" w:rsidRDefault="00395D16">
            <w:r>
              <w:rPr>
                <w:color w:val="FF2600"/>
              </w:rPr>
              <w:t xml:space="preserve">5/7-9 </w:t>
            </w:r>
            <w:r>
              <w:rPr>
                <w:rFonts w:hint="eastAsia"/>
                <w:color w:val="FF2600"/>
                <w:lang w:val="zh-TW" w:eastAsia="zh-TW"/>
              </w:rPr>
              <w:t>林道亮紀念講座停課</w:t>
            </w:r>
          </w:p>
        </w:tc>
      </w:tr>
      <w:tr w:rsidR="001511A0" w14:paraId="3D135E90" w14:textId="77777777">
        <w:trPr>
          <w:trHeight w:val="3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CE7E" w14:textId="77777777" w:rsidR="001511A0" w:rsidRDefault="00395D16">
            <w:pPr>
              <w:jc w:val="center"/>
            </w:pPr>
            <w:r>
              <w:t>12.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A46C" w14:textId="5E99E93B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5/28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853F" w14:textId="1D9FEE5E" w:rsidR="001511A0" w:rsidRDefault="00992F0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全球化、都市化與多元文化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9CB4" w14:textId="77777777" w:rsidR="001511A0" w:rsidRDefault="00395D16">
            <w:pPr>
              <w:widowControl/>
            </w:pPr>
            <w:r>
              <w:rPr>
                <w:color w:val="FF2600"/>
              </w:rPr>
              <w:t>5/15(</w:t>
            </w:r>
            <w:r>
              <w:rPr>
                <w:rFonts w:hint="eastAsia"/>
                <w:color w:val="FF2600"/>
              </w:rPr>
              <w:t>二</w:t>
            </w:r>
            <w:r>
              <w:rPr>
                <w:color w:val="FF2600"/>
              </w:rPr>
              <w:t>) *</w:t>
            </w:r>
            <w:r>
              <w:rPr>
                <w:rFonts w:hint="eastAsia"/>
                <w:color w:val="FF2600"/>
              </w:rPr>
              <w:t>學生自治大會</w:t>
            </w:r>
          </w:p>
        </w:tc>
      </w:tr>
      <w:tr w:rsidR="001511A0" w14:paraId="60C81F6A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847E" w14:textId="77777777" w:rsidR="001511A0" w:rsidRDefault="00395D16">
            <w:pPr>
              <w:jc w:val="center"/>
            </w:pPr>
            <w:r>
              <w:t>13.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A8DE" w14:textId="51956BB4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6/4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D3759" w14:textId="35180B3B" w:rsidR="001511A0" w:rsidRDefault="00E60E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個案研討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1DFD" w14:textId="44F38DE4" w:rsidR="001511A0" w:rsidRDefault="00FC424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小組報告</w:t>
            </w:r>
          </w:p>
        </w:tc>
      </w:tr>
      <w:tr w:rsidR="001511A0" w14:paraId="5FFBE45B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21A9" w14:textId="77777777" w:rsidR="001511A0" w:rsidRDefault="00395D16">
            <w:pPr>
              <w:jc w:val="center"/>
            </w:pPr>
            <w:r>
              <w:t>14.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4FC6" w14:textId="6C51A81D" w:rsidR="001511A0" w:rsidRDefault="00A33AE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6/11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30AE" w14:textId="7673A82D" w:rsidR="001511A0" w:rsidRDefault="00E60E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個案研討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F3D36" w14:textId="58FB5786" w:rsidR="001511A0" w:rsidRDefault="0065273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最後一次上課</w:t>
            </w:r>
          </w:p>
        </w:tc>
      </w:tr>
      <w:tr w:rsidR="001511A0" w14:paraId="5D4BACDF" w14:textId="77777777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698C" w14:textId="77777777" w:rsidR="001511A0" w:rsidRDefault="00395D16">
            <w:pPr>
              <w:jc w:val="center"/>
            </w:pPr>
            <w:r>
              <w:t>15.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20EAD" w14:textId="77777777" w:rsidR="001511A0" w:rsidRDefault="001511A0"/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F57D" w14:textId="77777777" w:rsidR="001511A0" w:rsidRDefault="001511A0"/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92CE" w14:textId="77777777" w:rsidR="001511A0" w:rsidRDefault="001511A0"/>
        </w:tc>
      </w:tr>
      <w:tr w:rsidR="001511A0" w14:paraId="6DB02E31" w14:textId="77777777">
        <w:trPr>
          <w:trHeight w:val="20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3BE27" w14:textId="77777777" w:rsidR="001511A0" w:rsidRDefault="00395D16">
            <w:pPr>
              <w:jc w:val="center"/>
            </w:pPr>
            <w:r>
              <w:t>16.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C186" w14:textId="77777777" w:rsidR="001511A0" w:rsidRDefault="001511A0"/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05FA" w14:textId="77777777" w:rsidR="001511A0" w:rsidRDefault="001511A0"/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088F" w14:textId="77777777" w:rsidR="001511A0" w:rsidRDefault="00395D16">
            <w:pPr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 w:cs="標楷體"/>
                <w:kern w:val="0"/>
                <w:lang w:val="zh-TW" w:eastAsia="zh-TW"/>
              </w:rPr>
            </w:pPr>
            <w:r>
              <w:rPr>
                <w:rFonts w:eastAsia="標楷體" w:hint="eastAsia"/>
                <w:kern w:val="0"/>
                <w:lang w:val="zh-TW" w:eastAsia="zh-TW"/>
              </w:rPr>
              <w:t>期末週。</w:t>
            </w:r>
          </w:p>
          <w:p w14:paraId="51CE2D64" w14:textId="77777777" w:rsidR="001511A0" w:rsidRDefault="00395D16">
            <w:pPr>
              <w:spacing w:line="300" w:lineRule="exact"/>
            </w:pPr>
            <w:r>
              <w:rPr>
                <w:rFonts w:ascii="標楷體" w:hAnsi="標楷體"/>
                <w:color w:val="FF0000"/>
                <w:u w:color="FF0000"/>
              </w:rPr>
              <w:t>- 7/</w:t>
            </w:r>
            <w:r>
              <w:rPr>
                <w:rFonts w:ascii="標楷體" w:hAnsi="標楷體"/>
                <w:color w:val="FF0000"/>
                <w:u w:color="FF0000"/>
                <w:lang w:val="zh-TW" w:eastAsia="zh-TW"/>
              </w:rPr>
              <w:t xml:space="preserve">2 </w:t>
            </w:r>
            <w:r>
              <w:rPr>
                <w:rFonts w:ascii="標楷體" w:hAnsi="標楷體"/>
                <w:color w:val="FF0000"/>
                <w:u w:color="FF0000"/>
              </w:rPr>
              <w:t>(</w:t>
            </w:r>
            <w:r>
              <w:rPr>
                <w:rFonts w:eastAsia="標楷體" w:hint="eastAsia"/>
                <w:color w:val="FF0000"/>
                <w:u w:color="FF0000"/>
                <w:lang w:val="zh-TW" w:eastAsia="zh-TW"/>
              </w:rPr>
              <w:t>一</w:t>
            </w:r>
            <w:r>
              <w:rPr>
                <w:rFonts w:ascii="標楷體" w:hAnsi="標楷體"/>
                <w:color w:val="FF0000"/>
                <w:u w:color="FF0000"/>
              </w:rPr>
              <w:t>)</w:t>
            </w:r>
            <w:r>
              <w:rPr>
                <w:rFonts w:eastAsia="標楷體" w:hint="eastAsia"/>
                <w:color w:val="FF0000"/>
                <w:u w:color="FF0000"/>
                <w:lang w:val="zh-TW" w:eastAsia="zh-TW"/>
              </w:rPr>
              <w:t>下午</w:t>
            </w:r>
            <w:r>
              <w:rPr>
                <w:rFonts w:ascii="標楷體" w:hAnsi="標楷體"/>
                <w:color w:val="FF0000"/>
                <w:u w:color="FF0000"/>
              </w:rPr>
              <w:t>5</w:t>
            </w:r>
            <w:r>
              <w:rPr>
                <w:rFonts w:eastAsia="標楷體" w:hint="eastAsia"/>
                <w:color w:val="FF0000"/>
                <w:u w:color="FF0000"/>
                <w:lang w:val="zh-TW" w:eastAsia="zh-TW"/>
              </w:rPr>
              <w:t>點前繳交學生成績至教務處，或教務系統成績登錄完畢。</w:t>
            </w:r>
            <w:r>
              <w:rPr>
                <w:rFonts w:ascii="標楷體" w:hAnsi="標楷體"/>
                <w:color w:val="FF0000"/>
                <w:u w:color="FF0000"/>
                <w:lang w:val="zh-TW" w:eastAsia="zh-TW"/>
              </w:rPr>
              <w:t>5</w:t>
            </w:r>
            <w:r>
              <w:rPr>
                <w:rFonts w:eastAsia="標楷體" w:hint="eastAsia"/>
                <w:color w:val="FF0000"/>
                <w:u w:color="FF0000"/>
                <w:lang w:val="zh-TW" w:eastAsia="zh-TW"/>
              </w:rPr>
              <w:t>點過後，教務系統將自動關閉。遲交者依規定罰款</w:t>
            </w:r>
            <w:r>
              <w:rPr>
                <w:rFonts w:ascii="標楷體" w:hAnsi="標楷體"/>
                <w:color w:val="FF0000"/>
                <w:u w:color="FF0000"/>
                <w:lang w:val="zh-TW" w:eastAsia="zh-TW"/>
              </w:rPr>
              <w:t>$500</w:t>
            </w:r>
            <w:r>
              <w:rPr>
                <w:rFonts w:eastAsia="標楷體" w:hint="eastAsia"/>
                <w:color w:val="FF0000"/>
                <w:u w:color="FF0000"/>
                <w:lang w:val="zh-TW" w:eastAsia="zh-TW"/>
              </w:rPr>
              <w:t>。</w:t>
            </w:r>
          </w:p>
        </w:tc>
      </w:tr>
    </w:tbl>
    <w:p w14:paraId="1AE8F7FA" w14:textId="77777777" w:rsidR="001511A0" w:rsidRDefault="001511A0">
      <w:pPr>
        <w:pStyle w:val="ListParagraph"/>
        <w:numPr>
          <w:ilvl w:val="0"/>
          <w:numId w:val="3"/>
        </w:numPr>
        <w:spacing w:before="180"/>
      </w:pPr>
    </w:p>
    <w:p w14:paraId="767DF421" w14:textId="77777777" w:rsidR="001511A0" w:rsidRDefault="00395D16">
      <w:pPr>
        <w:pStyle w:val="ListParagraph"/>
        <w:numPr>
          <w:ilvl w:val="0"/>
          <w:numId w:val="7"/>
        </w:numPr>
        <w:spacing w:before="180"/>
        <w:rPr>
          <w:color w:val="FF2600"/>
          <w:lang w:val="zh-TW" w:eastAsia="zh-TW"/>
        </w:rPr>
      </w:pPr>
      <w:r>
        <w:rPr>
          <w:color w:val="FF2600"/>
          <w:lang w:val="zh-TW" w:eastAsia="zh-TW"/>
        </w:rPr>
        <w:t>5/15（二）學生自治大會，下午四點開始，會影響部分課程，懇請老師留意配合，謝謝。</w:t>
      </w:r>
    </w:p>
    <w:p w14:paraId="590B8CAC" w14:textId="77777777" w:rsidR="001511A0" w:rsidRDefault="001511A0">
      <w:pPr>
        <w:pStyle w:val="ListParagraph"/>
        <w:tabs>
          <w:tab w:val="left" w:pos="567"/>
        </w:tabs>
        <w:spacing w:before="180"/>
        <w:ind w:left="108" w:hanging="108"/>
      </w:pPr>
    </w:p>
    <w:p w14:paraId="2B2097E6" w14:textId="77777777" w:rsidR="001511A0" w:rsidRDefault="00395D16">
      <w:pPr>
        <w:pStyle w:val="ListParagraph"/>
        <w:numPr>
          <w:ilvl w:val="0"/>
          <w:numId w:val="8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評量方法</w:t>
      </w:r>
    </w:p>
    <w:tbl>
      <w:tblPr>
        <w:tblW w:w="8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6096"/>
      </w:tblGrid>
      <w:tr w:rsidR="001511A0" w14:paraId="6AF4CB3F" w14:textId="77777777">
        <w:trPr>
          <w:trHeight w:val="3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01E3C" w14:textId="77777777" w:rsidR="001511A0" w:rsidRDefault="00395D1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4A8CF" w14:textId="77777777" w:rsidR="001511A0" w:rsidRDefault="00395D1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百分比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CCBD7" w14:textId="77777777" w:rsidR="001511A0" w:rsidRDefault="00395D1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說明</w:t>
            </w:r>
          </w:p>
        </w:tc>
      </w:tr>
      <w:tr w:rsidR="001511A0" w14:paraId="1E512628" w14:textId="77777777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62F6A" w14:textId="53BE6B66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課堂參與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5D557" w14:textId="150FE23F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650A8" w14:textId="0EEA627C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課堂練習、分組操作</w:t>
            </w:r>
          </w:p>
        </w:tc>
      </w:tr>
      <w:tr w:rsidR="001511A0" w14:paraId="7C475307" w14:textId="77777777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A04E" w14:textId="11029B3C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聽寫測驗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F86A9" w14:textId="1D673A05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CF52" w14:textId="1905E3AA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語音IPA聽寫</w:t>
            </w:r>
          </w:p>
        </w:tc>
      </w:tr>
      <w:tr w:rsidR="001511A0" w14:paraId="25714136" w14:textId="77777777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9365E" w14:textId="2C09F52F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期末報告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93AF" w14:textId="1C298EF6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96AC1" w14:textId="7E218024" w:rsidR="001511A0" w:rsidRDefault="00AB42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文化適應</w:t>
            </w:r>
            <w:r w:rsidR="00CD4912">
              <w:rPr>
                <w:rFonts w:hint="eastAsia"/>
                <w:lang w:eastAsia="zh-TW"/>
              </w:rPr>
              <w:t>小組</w:t>
            </w:r>
            <w:r>
              <w:rPr>
                <w:rFonts w:hint="eastAsia"/>
                <w:lang w:eastAsia="zh-TW"/>
              </w:rPr>
              <w:t>報告</w:t>
            </w:r>
          </w:p>
        </w:tc>
      </w:tr>
    </w:tbl>
    <w:p w14:paraId="0C2FF54C" w14:textId="77777777" w:rsidR="001511A0" w:rsidRDefault="001511A0">
      <w:pPr>
        <w:pStyle w:val="ListParagraph"/>
        <w:tabs>
          <w:tab w:val="left" w:pos="567"/>
        </w:tabs>
        <w:spacing w:before="180"/>
        <w:ind w:left="0"/>
      </w:pPr>
    </w:p>
    <w:p w14:paraId="26E2111E" w14:textId="77777777" w:rsidR="001511A0" w:rsidRDefault="00395D16">
      <w:pPr>
        <w:tabs>
          <w:tab w:val="left" w:pos="567"/>
        </w:tabs>
      </w:pPr>
      <w:r>
        <w:rPr>
          <w:rFonts w:ascii="微軟正黑體" w:eastAsia="微軟正黑體" w:hAnsi="微軟正黑體" w:cs="微軟正黑體"/>
          <w:sz w:val="22"/>
          <w:szCs w:val="22"/>
        </w:rPr>
        <w:t>*</w:t>
      </w:r>
      <w:r>
        <w:rPr>
          <w:rFonts w:ascii="微軟正黑體" w:eastAsia="微軟正黑體" w:hAnsi="微軟正黑體" w:cs="微軟正黑體"/>
          <w:sz w:val="22"/>
          <w:szCs w:val="22"/>
          <w:lang w:val="zh-TW" w:eastAsia="zh-TW"/>
        </w:rPr>
        <w:t>若行列不足，敬請自行增加行列。</w:t>
      </w:r>
    </w:p>
    <w:p w14:paraId="49B781B1" w14:textId="77777777" w:rsidR="001511A0" w:rsidRDefault="001511A0">
      <w:pPr>
        <w:tabs>
          <w:tab w:val="left" w:pos="567"/>
        </w:tabs>
      </w:pPr>
    </w:p>
    <w:p w14:paraId="1FF73C51" w14:textId="77777777" w:rsidR="001511A0" w:rsidRDefault="001511A0">
      <w:pPr>
        <w:tabs>
          <w:tab w:val="left" w:pos="567"/>
        </w:tabs>
      </w:pPr>
    </w:p>
    <w:p w14:paraId="6AD1C12C" w14:textId="77777777" w:rsidR="001511A0" w:rsidRDefault="00395D16">
      <w:pPr>
        <w:pStyle w:val="ListParagraph"/>
        <w:numPr>
          <w:ilvl w:val="0"/>
          <w:numId w:val="9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課程相關書目</w:t>
      </w:r>
    </w:p>
    <w:tbl>
      <w:tblPr>
        <w:tblW w:w="8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1511A0" w14:paraId="006333C6" w14:textId="77777777">
        <w:trPr>
          <w:trHeight w:val="8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9558" w14:textId="77777777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教科書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70AC" w14:textId="0D35C3AE" w:rsidR="0053047F" w:rsidRDefault="001A52BC" w:rsidP="001F01C9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科塔克</w:t>
            </w:r>
            <w:r w:rsidR="0053047F">
              <w:rPr>
                <w:rFonts w:hint="eastAsia"/>
                <w:lang w:eastAsia="zh-TW"/>
              </w:rPr>
              <w:t>，（2014）《文化人類學：領會文化多樣性》台北：巨流圖書。</w:t>
            </w:r>
          </w:p>
          <w:p w14:paraId="79AB9121" w14:textId="77777777" w:rsidR="00C23EE8" w:rsidRDefault="00C23EE8" w:rsidP="00C23EE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謝國平（2011）《語言學概論》三民書局</w:t>
            </w:r>
          </w:p>
          <w:p w14:paraId="38A64DC7" w14:textId="1A6972E8" w:rsidR="00FC4246" w:rsidRDefault="00FC4246" w:rsidP="001F01C9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周雅各，（</w:t>
            </w:r>
            <w:r w:rsidR="00A43283">
              <w:rPr>
                <w:rFonts w:hint="eastAsia"/>
                <w:lang w:eastAsia="zh-TW"/>
              </w:rPr>
              <w:t>2009</w:t>
            </w:r>
            <w:r w:rsidR="00EE4CE5">
              <w:rPr>
                <w:rFonts w:hint="eastAsia"/>
                <w:lang w:eastAsia="zh-TW"/>
              </w:rPr>
              <w:t>）《跨</w:t>
            </w:r>
            <w:r>
              <w:rPr>
                <w:rFonts w:hint="eastAsia"/>
                <w:lang w:eastAsia="zh-TW"/>
              </w:rPr>
              <w:t>文化事奉錦囊》海外基督使團</w:t>
            </w:r>
          </w:p>
          <w:p w14:paraId="3CBF9FA5" w14:textId="6FAAFB6C" w:rsidR="001F01C9" w:rsidRDefault="001F01C9" w:rsidP="0087266D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bdr w:val="none" w:sz="0" w:space="0" w:color="auto"/>
                <w:lang w:eastAsia="zh-TW"/>
              </w:rPr>
            </w:pPr>
            <w:r>
              <w:rPr>
                <w:rFonts w:hint="eastAsia"/>
                <w:lang w:eastAsia="zh-TW"/>
              </w:rPr>
              <w:t>朱昌</w:t>
            </w:r>
            <w:hyperlink r:id="rId7" w:history="1">
              <w:r w:rsidRPr="001F01C9">
                <w:rPr>
                  <w:rStyle w:val="Hyperlink"/>
                  <w:rFonts w:ascii="MS Mincho" w:eastAsia="MS Mincho" w:hAnsi="MS Mincho" w:cs="MS Mincho"/>
                  <w:color w:val="000000" w:themeColor="text1"/>
                  <w:u w:val="none"/>
                  <w:shd w:val="clear" w:color="auto" w:fill="FFFFFF"/>
                </w:rPr>
                <w:t>綾</w:t>
              </w:r>
            </w:hyperlink>
            <w:r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，</w:t>
            </w:r>
            <w:r>
              <w:rPr>
                <w:rFonts w:eastAsia="Times New Roman" w:hint="eastAsia"/>
                <w:color w:val="000000" w:themeColor="text1"/>
                <w:lang w:eastAsia="zh-TW"/>
              </w:rPr>
              <w:t>2012</w:t>
            </w:r>
            <w:r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，《婆</w:t>
            </w:r>
            <w:r>
              <w:rPr>
                <w:rFonts w:ascii="SimSun" w:eastAsia="SimSun" w:hAnsi="SimSun" w:cs="SimSun"/>
                <w:color w:val="000000" w:themeColor="text1"/>
                <w:lang w:eastAsia="zh-TW"/>
              </w:rPr>
              <w:t>說</w:t>
            </w:r>
            <w:r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婆有理》</w:t>
            </w:r>
            <w:r w:rsidR="00FC4246"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中華福音使命團</w:t>
            </w:r>
          </w:p>
          <w:p w14:paraId="0E2A1B3A" w14:textId="36402930" w:rsidR="001511A0" w:rsidRDefault="001511A0">
            <w:pPr>
              <w:rPr>
                <w:lang w:eastAsia="zh-TW"/>
              </w:rPr>
            </w:pPr>
          </w:p>
        </w:tc>
      </w:tr>
      <w:tr w:rsidR="001511A0" w14:paraId="11A0F80E" w14:textId="77777777">
        <w:trPr>
          <w:trHeight w:val="17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F324" w14:textId="282F39D9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lastRenderedPageBreak/>
              <w:t>參考書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9F78" w14:textId="3E5C85E0" w:rsidR="001511A0" w:rsidRDefault="00C96E4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陳佩英 （2013）《未為人知的故事：亞洲宣子成長路》香港差傳事工聯會</w:t>
            </w:r>
          </w:p>
          <w:p w14:paraId="4DC5DB64" w14:textId="5C065AED" w:rsidR="004F6ADA" w:rsidRDefault="004F6ADA" w:rsidP="004F6AD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陳佩英 （1997）《宣教士父母錦囊》香港差傳事工聯會</w:t>
            </w:r>
          </w:p>
          <w:p w14:paraId="7E2AF160" w14:textId="016D652E" w:rsidR="00C23EE8" w:rsidRDefault="00C23EE8" w:rsidP="004F6ADA">
            <w:pPr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 xml:space="preserve">Pinker, Steven (2001) </w:t>
            </w:r>
            <w:r>
              <w:rPr>
                <w:rFonts w:hint="eastAsia"/>
                <w:lang w:eastAsia="zh-TW"/>
              </w:rPr>
              <w:t>洪蘭 譯《語言本能》商周出版</w:t>
            </w:r>
          </w:p>
          <w:p w14:paraId="1C83DD37" w14:textId="1F63ED2F" w:rsidR="00C23EE8" w:rsidRDefault="00C23EE8" w:rsidP="00C23EE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早川博士（1991）原著，鄧海珠 譯《語言與人生》遠流出版</w:t>
            </w:r>
            <w:bookmarkStart w:id="0" w:name="_GoBack"/>
            <w:bookmarkEnd w:id="0"/>
          </w:p>
          <w:p w14:paraId="5CCF406B" w14:textId="453EBA7E" w:rsidR="00C23EE8" w:rsidRDefault="00C23EE8" w:rsidP="00C23EE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Hayakawa</w:t>
            </w:r>
            <w:r>
              <w:rPr>
                <w:lang w:eastAsia="zh-TW"/>
              </w:rPr>
              <w:t xml:space="preserve"> (1991). Language in thought and action</w:t>
            </w:r>
          </w:p>
          <w:p w14:paraId="5678EF60" w14:textId="77777777" w:rsidR="00C23EE8" w:rsidRDefault="00C23EE8" w:rsidP="00C23EE8">
            <w:pPr>
              <w:widowControl/>
              <w:rPr>
                <w:rFonts w:eastAsia="Times New Roman"/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朱昌</w:t>
            </w:r>
            <w:hyperlink r:id="rId8" w:history="1">
              <w:r w:rsidRPr="001F01C9">
                <w:rPr>
                  <w:rStyle w:val="Hyperlink"/>
                  <w:rFonts w:ascii="MS Mincho" w:eastAsia="MS Mincho" w:hAnsi="MS Mincho" w:cs="MS Mincho"/>
                  <w:color w:val="000000" w:themeColor="text1"/>
                  <w:u w:val="none"/>
                  <w:shd w:val="clear" w:color="auto" w:fill="FFFFFF"/>
                </w:rPr>
                <w:t>綾</w:t>
              </w:r>
            </w:hyperlink>
            <w:r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，</w:t>
            </w:r>
            <w:r>
              <w:rPr>
                <w:rFonts w:eastAsia="Times New Roman" w:hint="eastAsia"/>
                <w:color w:val="000000" w:themeColor="text1"/>
                <w:lang w:eastAsia="zh-TW"/>
              </w:rPr>
              <w:t>2012</w:t>
            </w:r>
            <w:r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，《</w:t>
            </w:r>
            <w:r>
              <w:rPr>
                <w:rFonts w:ascii="MS Mincho" w:eastAsia="MS Mincho" w:hAnsi="MS Mincho" w:cs="MS Mincho" w:hint="eastAsia"/>
                <w:color w:val="000000" w:themeColor="text1"/>
                <w:lang w:eastAsia="zh-TW"/>
              </w:rPr>
              <w:t>公</w:t>
            </w:r>
            <w:r>
              <w:rPr>
                <w:rFonts w:ascii="SimSun" w:eastAsia="SimSun" w:hAnsi="SimSun" w:cs="SimSun"/>
                <w:color w:val="000000" w:themeColor="text1"/>
                <w:lang w:eastAsia="zh-TW"/>
              </w:rPr>
              <w:t>說</w:t>
            </w:r>
            <w:r>
              <w:rPr>
                <w:rFonts w:ascii="MS Mincho" w:eastAsia="MS Mincho" w:hAnsi="MS Mincho" w:cs="MS Mincho" w:hint="eastAsia"/>
                <w:color w:val="000000" w:themeColor="text1"/>
                <w:lang w:eastAsia="zh-TW"/>
              </w:rPr>
              <w:t>公</w:t>
            </w:r>
            <w:r>
              <w:rPr>
                <w:rFonts w:ascii="MS Mincho" w:eastAsia="MS Mincho" w:hAnsi="MS Mincho" w:cs="MS Mincho"/>
                <w:color w:val="000000" w:themeColor="text1"/>
                <w:lang w:eastAsia="zh-TW"/>
              </w:rPr>
              <w:t>有理》中華福音使命團</w:t>
            </w:r>
          </w:p>
          <w:p w14:paraId="7E88C906" w14:textId="78842703" w:rsidR="00C96E4C" w:rsidRDefault="00C23EE8" w:rsidP="00C23EE8">
            <w:pPr>
              <w:rPr>
                <w:lang w:eastAsia="zh-TW"/>
              </w:rPr>
            </w:pPr>
            <w:r>
              <w:rPr>
                <w:lang w:eastAsia="zh-TW"/>
              </w:rPr>
              <w:t>Hiebert, P &amp; F (1987). Case Studies in Missions. Grand Rapids, MI: Baker</w:t>
            </w:r>
          </w:p>
          <w:p w14:paraId="6EAB9C54" w14:textId="77777777" w:rsidR="001511A0" w:rsidRDefault="001511A0"/>
          <w:p w14:paraId="48992545" w14:textId="59B6FE31" w:rsidR="001511A0" w:rsidRDefault="007D7C7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網路資源</w:t>
            </w:r>
          </w:p>
          <w:p w14:paraId="3637B17E" w14:textId="77777777" w:rsidR="001511A0" w:rsidRDefault="001511A0"/>
        </w:tc>
      </w:tr>
    </w:tbl>
    <w:p w14:paraId="5BF9CF4E" w14:textId="77777777" w:rsidR="001511A0" w:rsidRDefault="001511A0"/>
    <w:p w14:paraId="1992D1DC" w14:textId="77777777" w:rsidR="001511A0" w:rsidRDefault="00395D16">
      <w:pPr>
        <w:pStyle w:val="ListParagraph"/>
        <w:numPr>
          <w:ilvl w:val="0"/>
          <w:numId w:val="10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其他</w:t>
      </w:r>
    </w:p>
    <w:tbl>
      <w:tblPr>
        <w:tblW w:w="8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1511A0" w14:paraId="24C60D48" w14:textId="77777777">
        <w:trPr>
          <w:trHeight w:val="8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99554" w14:textId="77777777" w:rsidR="001511A0" w:rsidRDefault="00395D16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  <w:lang w:val="zh-TW" w:eastAsia="zh-TW"/>
              </w:rPr>
              <w:t>設備等</w:t>
            </w:r>
          </w:p>
          <w:p w14:paraId="29327808" w14:textId="77777777" w:rsidR="001511A0" w:rsidRDefault="00395D1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特別需求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EF4C" w14:textId="77777777" w:rsidR="001511A0" w:rsidRDefault="007D7C7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投影機、音響</w:t>
            </w:r>
          </w:p>
          <w:p w14:paraId="10338D72" w14:textId="10319893" w:rsidR="00BF2214" w:rsidRDefault="00BF2214">
            <w:pPr>
              <w:rPr>
                <w:lang w:eastAsia="zh-TW"/>
              </w:rPr>
            </w:pPr>
          </w:p>
        </w:tc>
      </w:tr>
    </w:tbl>
    <w:p w14:paraId="5CF845D7" w14:textId="5EDADE22" w:rsidR="001511A0" w:rsidRDefault="00BF2214">
      <w:pPr>
        <w:pStyle w:val="ListParagraph"/>
        <w:numPr>
          <w:ilvl w:val="0"/>
          <w:numId w:val="3"/>
        </w:numPr>
        <w:spacing w:before="180"/>
        <w:rPr>
          <w:lang w:val="zh-TW" w:eastAsia="zh-TW"/>
        </w:rPr>
      </w:pPr>
      <w:r>
        <w:rPr>
          <w:rFonts w:hint="eastAsia"/>
          <w:lang w:val="zh-TW" w:eastAsia="zh-TW"/>
        </w:rPr>
        <w:t>因為與推廣教育處合開，所以：</w:t>
      </w:r>
    </w:p>
    <w:p w14:paraId="4A9BFAE4" w14:textId="77777777" w:rsidR="00BF2214" w:rsidRPr="00BF2214" w:rsidRDefault="00BF2214" w:rsidP="00BF2214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40" w:lineRule="atLeast"/>
        <w:ind w:left="553"/>
        <w:rPr>
          <w:rFonts w:ascii="Arial" w:eastAsia="新細明體" w:hAnsi="Arial" w:cs="Arial"/>
          <w:color w:val="222222"/>
          <w:kern w:val="0"/>
          <w:sz w:val="21"/>
          <w:szCs w:val="21"/>
          <w:bdr w:val="none" w:sz="0" w:space="0" w:color="auto"/>
        </w:rPr>
      </w:pPr>
      <w:r w:rsidRPr="00BF2214">
        <w:rPr>
          <w:rFonts w:ascii="微軟正黑體" w:eastAsia="微軟正黑體" w:hAnsi="微軟正黑體" w:cs="Arial" w:hint="eastAsia"/>
          <w:color w:val="984807"/>
          <w:kern w:val="0"/>
          <w:sz w:val="28"/>
          <w:szCs w:val="28"/>
          <w:bdr w:val="none" w:sz="0" w:space="0" w:color="auto"/>
        </w:rPr>
        <w:t>語言學習與文化適應</w:t>
      </w:r>
    </w:p>
    <w:p w14:paraId="5CF4CB6D" w14:textId="77777777" w:rsidR="00BF2214" w:rsidRPr="00BF2214" w:rsidRDefault="00BF2214" w:rsidP="00BF2214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40" w:lineRule="atLeast"/>
        <w:ind w:left="553"/>
        <w:rPr>
          <w:rFonts w:ascii="Arial" w:eastAsia="新細明體" w:hAnsi="Arial" w:cs="Arial"/>
          <w:color w:val="222222"/>
          <w:kern w:val="0"/>
          <w:sz w:val="21"/>
          <w:szCs w:val="21"/>
          <w:bdr w:val="none" w:sz="0" w:space="0" w:color="auto"/>
        </w:rPr>
      </w:pPr>
      <w:r w:rsidRPr="00BF2214">
        <w:rPr>
          <w:rFonts w:ascii="微軟正黑體" w:eastAsia="微軟正黑體" w:hAnsi="微軟正黑體" w:cs="Arial" w:hint="eastAsia"/>
          <w:color w:val="984807"/>
          <w:kern w:val="0"/>
          <w:sz w:val="28"/>
          <w:szCs w:val="28"/>
          <w:bdr w:val="none" w:sz="0" w:space="0" w:color="auto"/>
        </w:rPr>
        <w:t>上課日期：2/26、3/5、3/12、3/19、3/26、4/16、4/23、4/30、5/14、5/21、5/28、6/4、6/11（13週）</w:t>
      </w:r>
    </w:p>
    <w:p w14:paraId="362D0331" w14:textId="77777777" w:rsidR="00BF2214" w:rsidRPr="00BF2214" w:rsidRDefault="00BF2214" w:rsidP="00BF2214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40" w:lineRule="atLeast"/>
        <w:ind w:left="553"/>
        <w:rPr>
          <w:rFonts w:ascii="Arial" w:eastAsia="新細明體" w:hAnsi="Arial" w:cs="Arial"/>
          <w:color w:val="222222"/>
          <w:kern w:val="0"/>
          <w:sz w:val="21"/>
          <w:szCs w:val="21"/>
          <w:bdr w:val="none" w:sz="0" w:space="0" w:color="auto"/>
        </w:rPr>
      </w:pPr>
      <w:r w:rsidRPr="00BF2214">
        <w:rPr>
          <w:rFonts w:ascii="微軟正黑體" w:eastAsia="微軟正黑體" w:hAnsi="微軟正黑體" w:cs="Arial" w:hint="eastAsia"/>
          <w:color w:val="984807"/>
          <w:kern w:val="0"/>
          <w:sz w:val="28"/>
          <w:szCs w:val="28"/>
          <w:bdr w:val="none" w:sz="0" w:space="0" w:color="auto"/>
        </w:rPr>
        <w:t>上課時間：週一晚上7:00～9:10（第一堂7:00～8:00，第二堂8:10～9:10）</w:t>
      </w:r>
    </w:p>
    <w:p w14:paraId="43B3AC04" w14:textId="77777777" w:rsidR="00BF2214" w:rsidRDefault="00BF2214" w:rsidP="00BF2214">
      <w:pPr>
        <w:pStyle w:val="ListParagraph"/>
        <w:tabs>
          <w:tab w:val="left" w:pos="567"/>
        </w:tabs>
        <w:spacing w:before="180"/>
        <w:ind w:left="553"/>
        <w:rPr>
          <w:lang w:val="zh-TW" w:eastAsia="zh-TW"/>
        </w:rPr>
      </w:pPr>
    </w:p>
    <w:sectPr w:rsidR="00BF2214">
      <w:headerReference w:type="default" r:id="rId9"/>
      <w:footerReference w:type="default" r:id="rId10"/>
      <w:pgSz w:w="11900" w:h="16840"/>
      <w:pgMar w:top="1440" w:right="1797" w:bottom="851" w:left="179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43864" w14:textId="77777777" w:rsidR="004E3877" w:rsidRDefault="004E3877">
      <w:r>
        <w:separator/>
      </w:r>
    </w:p>
  </w:endnote>
  <w:endnote w:type="continuationSeparator" w:id="0">
    <w:p w14:paraId="777D3443" w14:textId="77777777" w:rsidR="004E3877" w:rsidRDefault="004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5CB4" w14:textId="77777777" w:rsidR="001511A0" w:rsidRDefault="001511A0">
    <w:pPr>
      <w:pStyle w:val="a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7716" w14:textId="77777777" w:rsidR="004E3877" w:rsidRDefault="004E3877">
      <w:r>
        <w:separator/>
      </w:r>
    </w:p>
  </w:footnote>
  <w:footnote w:type="continuationSeparator" w:id="0">
    <w:p w14:paraId="2A395273" w14:textId="77777777" w:rsidR="004E3877" w:rsidRDefault="004E38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1D682" w14:textId="77777777" w:rsidR="001511A0" w:rsidRDefault="00395D16">
    <w:pPr>
      <w:pStyle w:val="Header"/>
      <w:tabs>
        <w:tab w:val="clear" w:pos="8306"/>
        <w:tab w:val="right" w:pos="8286"/>
      </w:tabs>
    </w:pPr>
    <w:r>
      <w:rPr>
        <w:rFonts w:ascii="新細明體" w:eastAsia="新細明體" w:hAnsi="新細明體" w:cs="新細明體"/>
        <w:lang w:val="zh-TW" w:eastAsia="zh-TW"/>
      </w:rPr>
      <w:t>課程名稱：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1A15"/>
    <w:multiLevelType w:val="hybridMultilevel"/>
    <w:tmpl w:val="C1B25AF0"/>
    <w:styleLink w:val="1"/>
    <w:lvl w:ilvl="0" w:tplc="2432FDC2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4AD80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6A1B6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4ACE74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A0538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477AA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1CB4F8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870F2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01CF2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534D49"/>
    <w:multiLevelType w:val="hybridMultilevel"/>
    <w:tmpl w:val="568C9D6E"/>
    <w:lvl w:ilvl="0" w:tplc="3A06546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1BB4"/>
    <w:multiLevelType w:val="hybridMultilevel"/>
    <w:tmpl w:val="C1B25AF0"/>
    <w:numStyleLink w:val="1"/>
  </w:abstractNum>
  <w:abstractNum w:abstractNumId="3">
    <w:nsid w:val="4DAE4664"/>
    <w:multiLevelType w:val="hybridMultilevel"/>
    <w:tmpl w:val="C308897E"/>
    <w:numStyleLink w:val="a"/>
  </w:abstractNum>
  <w:abstractNum w:abstractNumId="4">
    <w:nsid w:val="72464365"/>
    <w:multiLevelType w:val="hybridMultilevel"/>
    <w:tmpl w:val="68D420F6"/>
    <w:lvl w:ilvl="0" w:tplc="E3EEA3A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1" w:tplc="D7AA109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2" w:tplc="BB821E9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3" w:tplc="86828806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4" w:tplc="EC645C9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5" w:tplc="2AB83B1C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6" w:tplc="252A0396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7" w:tplc="DEC24692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8" w:tplc="D63EBAC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DA44EE1"/>
    <w:multiLevelType w:val="hybridMultilevel"/>
    <w:tmpl w:val="C308897E"/>
    <w:styleLink w:val="a"/>
    <w:lvl w:ilvl="0" w:tplc="07848E2A">
      <w:start w:val="1"/>
      <w:numFmt w:val="bullet"/>
      <w:lvlText w:val="*"/>
      <w:lvlJc w:val="left"/>
      <w:pPr>
        <w:tabs>
          <w:tab w:val="num" w:pos="189"/>
          <w:tab w:val="left" w:pos="283"/>
        </w:tabs>
        <w:ind w:left="2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0BD60">
      <w:start w:val="1"/>
      <w:numFmt w:val="bullet"/>
      <w:lvlText w:val="*"/>
      <w:lvlJc w:val="left"/>
      <w:pPr>
        <w:tabs>
          <w:tab w:val="left" w:pos="283"/>
          <w:tab w:val="num" w:pos="789"/>
        </w:tabs>
        <w:ind w:left="8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E75F2">
      <w:start w:val="1"/>
      <w:numFmt w:val="bullet"/>
      <w:lvlText w:val="*"/>
      <w:lvlJc w:val="left"/>
      <w:pPr>
        <w:tabs>
          <w:tab w:val="left" w:pos="283"/>
          <w:tab w:val="num" w:pos="1389"/>
        </w:tabs>
        <w:ind w:left="1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4AFAA">
      <w:start w:val="1"/>
      <w:numFmt w:val="bullet"/>
      <w:lvlText w:val="*"/>
      <w:lvlJc w:val="left"/>
      <w:pPr>
        <w:tabs>
          <w:tab w:val="left" w:pos="283"/>
          <w:tab w:val="num" w:pos="1989"/>
        </w:tabs>
        <w:ind w:left="20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483F9C">
      <w:start w:val="1"/>
      <w:numFmt w:val="bullet"/>
      <w:lvlText w:val="*"/>
      <w:lvlJc w:val="left"/>
      <w:pPr>
        <w:tabs>
          <w:tab w:val="left" w:pos="283"/>
          <w:tab w:val="num" w:pos="2589"/>
        </w:tabs>
        <w:ind w:left="26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A5BF0">
      <w:start w:val="1"/>
      <w:numFmt w:val="bullet"/>
      <w:lvlText w:val="*"/>
      <w:lvlJc w:val="left"/>
      <w:pPr>
        <w:tabs>
          <w:tab w:val="left" w:pos="283"/>
          <w:tab w:val="num" w:pos="3189"/>
        </w:tabs>
        <w:ind w:left="32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4A490">
      <w:start w:val="1"/>
      <w:numFmt w:val="bullet"/>
      <w:lvlText w:val="*"/>
      <w:lvlJc w:val="left"/>
      <w:pPr>
        <w:tabs>
          <w:tab w:val="left" w:pos="283"/>
          <w:tab w:val="num" w:pos="3789"/>
        </w:tabs>
        <w:ind w:left="38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8DB4E">
      <w:start w:val="1"/>
      <w:numFmt w:val="bullet"/>
      <w:lvlText w:val="*"/>
      <w:lvlJc w:val="left"/>
      <w:pPr>
        <w:tabs>
          <w:tab w:val="left" w:pos="283"/>
          <w:tab w:val="num" w:pos="4389"/>
        </w:tabs>
        <w:ind w:left="4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21C44">
      <w:start w:val="1"/>
      <w:numFmt w:val="bullet"/>
      <w:lvlText w:val="*"/>
      <w:lvlJc w:val="left"/>
      <w:pPr>
        <w:tabs>
          <w:tab w:val="left" w:pos="283"/>
          <w:tab w:val="num" w:pos="4989"/>
        </w:tabs>
        <w:ind w:left="50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553C4B1A">
        <w:start w:val="1"/>
        <w:numFmt w:val="taiwaneseCounting"/>
        <w:lvlText w:val="%1."/>
        <w:lvlJc w:val="left"/>
        <w:pPr>
          <w:tabs>
            <w:tab w:val="num" w:pos="445"/>
            <w:tab w:val="left" w:pos="567"/>
          </w:tabs>
          <w:ind w:left="553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F27D74">
        <w:start w:val="1"/>
        <w:numFmt w:val="decimal"/>
        <w:lvlText w:val="%2."/>
        <w:lvlJc w:val="left"/>
        <w:pPr>
          <w:tabs>
            <w:tab w:val="left" w:pos="567"/>
            <w:tab w:val="num" w:pos="925"/>
          </w:tabs>
          <w:ind w:left="1033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EE4BC0">
        <w:start w:val="1"/>
        <w:numFmt w:val="lowerRoman"/>
        <w:lvlText w:val="%3."/>
        <w:lvlJc w:val="left"/>
        <w:pPr>
          <w:tabs>
            <w:tab w:val="left" w:pos="567"/>
            <w:tab w:val="num" w:pos="1394"/>
          </w:tabs>
          <w:ind w:left="1502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EA7B86">
        <w:start w:val="1"/>
        <w:numFmt w:val="decimal"/>
        <w:lvlText w:val="%4."/>
        <w:lvlJc w:val="left"/>
        <w:pPr>
          <w:tabs>
            <w:tab w:val="left" w:pos="567"/>
            <w:tab w:val="num" w:pos="1885"/>
          </w:tabs>
          <w:ind w:left="1993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8C1F2E">
        <w:start w:val="1"/>
        <w:numFmt w:val="decimal"/>
        <w:lvlText w:val="%5."/>
        <w:lvlJc w:val="left"/>
        <w:pPr>
          <w:tabs>
            <w:tab w:val="left" w:pos="567"/>
            <w:tab w:val="num" w:pos="2365"/>
          </w:tabs>
          <w:ind w:left="2473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8C7092">
        <w:start w:val="1"/>
        <w:numFmt w:val="lowerRoman"/>
        <w:lvlText w:val="%6."/>
        <w:lvlJc w:val="left"/>
        <w:pPr>
          <w:tabs>
            <w:tab w:val="left" w:pos="567"/>
            <w:tab w:val="num" w:pos="2834"/>
          </w:tabs>
          <w:ind w:left="2942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D0DC30">
        <w:start w:val="1"/>
        <w:numFmt w:val="decimal"/>
        <w:lvlText w:val="%7."/>
        <w:lvlJc w:val="left"/>
        <w:pPr>
          <w:tabs>
            <w:tab w:val="left" w:pos="567"/>
            <w:tab w:val="num" w:pos="3325"/>
          </w:tabs>
          <w:ind w:left="3433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D62706">
        <w:start w:val="1"/>
        <w:numFmt w:val="decimal"/>
        <w:lvlText w:val="%8."/>
        <w:lvlJc w:val="left"/>
        <w:pPr>
          <w:tabs>
            <w:tab w:val="left" w:pos="567"/>
            <w:tab w:val="num" w:pos="3805"/>
          </w:tabs>
          <w:ind w:left="3913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2C113C">
        <w:start w:val="1"/>
        <w:numFmt w:val="lowerRoman"/>
        <w:lvlText w:val="%9."/>
        <w:lvlJc w:val="left"/>
        <w:pPr>
          <w:tabs>
            <w:tab w:val="left" w:pos="567"/>
            <w:tab w:val="num" w:pos="4274"/>
          </w:tabs>
          <w:ind w:left="4382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revisionView w:formatting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0"/>
    <w:rsid w:val="0003531B"/>
    <w:rsid w:val="000B30EC"/>
    <w:rsid w:val="001511A0"/>
    <w:rsid w:val="00192DDC"/>
    <w:rsid w:val="001A52BC"/>
    <w:rsid w:val="001B013A"/>
    <w:rsid w:val="001F01C9"/>
    <w:rsid w:val="0031012D"/>
    <w:rsid w:val="00395D16"/>
    <w:rsid w:val="0041235D"/>
    <w:rsid w:val="004E3877"/>
    <w:rsid w:val="004F6ADA"/>
    <w:rsid w:val="0053047F"/>
    <w:rsid w:val="00652735"/>
    <w:rsid w:val="007D7C73"/>
    <w:rsid w:val="0087266D"/>
    <w:rsid w:val="00992F09"/>
    <w:rsid w:val="00A200A9"/>
    <w:rsid w:val="00A33AEF"/>
    <w:rsid w:val="00A43283"/>
    <w:rsid w:val="00AB4257"/>
    <w:rsid w:val="00BF2214"/>
    <w:rsid w:val="00C23EE8"/>
    <w:rsid w:val="00C4128F"/>
    <w:rsid w:val="00C96E4C"/>
    <w:rsid w:val="00CD4912"/>
    <w:rsid w:val="00D01E32"/>
    <w:rsid w:val="00D76672"/>
    <w:rsid w:val="00E60E67"/>
    <w:rsid w:val="00EE4CE5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98E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0">
    <w:name w:val="頁首與頁尾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a">
    <w:name w:val="項目符號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hop.campus.org.tw/SearchResults.aspx?SearchItem=%e6%9c%b1%e6%98%8c%e7%b6%be" TargetMode="External"/><Relationship Id="rId8" Type="http://schemas.openxmlformats.org/officeDocument/2006/relationships/hyperlink" Target="https://shop.campus.org.tw/SearchResults.aspx?SearchItem=%e6%9c%b1%e6%98%8c%e7%b6%b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winston_chiu@wycliffe.org.tw</cp:lastModifiedBy>
  <cp:revision>25</cp:revision>
  <dcterms:created xsi:type="dcterms:W3CDTF">2017-10-23T02:04:00Z</dcterms:created>
  <dcterms:modified xsi:type="dcterms:W3CDTF">2018-03-05T09:40:00Z</dcterms:modified>
</cp:coreProperties>
</file>